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2B2FB" w14:textId="6C3E1304" w:rsidR="005245E8" w:rsidRPr="00CE0424" w:rsidRDefault="005245E8" w:rsidP="005245E8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6498313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C33229">
        <w:t>2</w:t>
      </w:r>
      <w:r>
        <w:t>-e</w:t>
      </w:r>
      <w:r w:rsidRPr="00CE0424">
        <w:tab/>
      </w:r>
      <w:proofErr w:type="spellStart"/>
      <w:r w:rsidRPr="0027357D">
        <w:rPr>
          <w:sz w:val="32"/>
          <w:szCs w:val="32"/>
        </w:rPr>
        <w:t>Tdoc</w:t>
      </w:r>
      <w:proofErr w:type="spellEnd"/>
      <w:r w:rsidRPr="0027357D">
        <w:rPr>
          <w:sz w:val="32"/>
          <w:szCs w:val="32"/>
        </w:rPr>
        <w:t xml:space="preserve"> </w:t>
      </w:r>
      <w:r w:rsidRPr="00CA6392">
        <w:rPr>
          <w:sz w:val="32"/>
          <w:szCs w:val="32"/>
        </w:rPr>
        <w:t>R1-20</w:t>
      </w:r>
      <w:r w:rsidR="00CA6392" w:rsidRPr="00CA6392">
        <w:rPr>
          <w:sz w:val="32"/>
          <w:szCs w:val="32"/>
        </w:rPr>
        <w:t>05910</w:t>
      </w:r>
    </w:p>
    <w:p w14:paraId="69A934E0" w14:textId="77F9ECF4" w:rsidR="005245E8" w:rsidRPr="00CE0424" w:rsidRDefault="005245E8" w:rsidP="005245E8">
      <w:pPr>
        <w:pStyle w:val="3GPPHeader"/>
      </w:pPr>
      <w:r>
        <w:t>e-Meeting</w:t>
      </w:r>
      <w:r w:rsidRPr="009027D4">
        <w:t xml:space="preserve">, </w:t>
      </w:r>
      <w:r w:rsidR="00C33229">
        <w:t>17</w:t>
      </w:r>
      <w:r w:rsidR="00C33229" w:rsidRPr="00C33229">
        <w:rPr>
          <w:vertAlign w:val="superscript"/>
        </w:rPr>
        <w:t>th</w:t>
      </w:r>
      <w:r w:rsidR="00C33229">
        <w:t xml:space="preserve"> – 28</w:t>
      </w:r>
      <w:bookmarkStart w:id="1" w:name="_GoBack"/>
      <w:bookmarkEnd w:id="1"/>
      <w:r w:rsidR="00C33229" w:rsidRPr="00C33229">
        <w:rPr>
          <w:vertAlign w:val="superscript"/>
        </w:rPr>
        <w:t>th</w:t>
      </w:r>
      <w:r w:rsidR="00C33229">
        <w:t xml:space="preserve"> </w:t>
      </w:r>
      <w:proofErr w:type="gramStart"/>
      <w:r w:rsidR="00C33229">
        <w:t>August</w:t>
      </w:r>
      <w:r>
        <w:t>,</w:t>
      </w:r>
      <w:proofErr w:type="gramEnd"/>
      <w:r>
        <w:t xml:space="preserve"> </w:t>
      </w:r>
      <w:r w:rsidRPr="009027D4">
        <w:t>2020</w:t>
      </w:r>
    </w:p>
    <w:bookmarkEnd w:id="0"/>
    <w:p w14:paraId="5CE5E37F" w14:textId="77777777" w:rsidR="00E90E49" w:rsidRPr="00CE0424" w:rsidRDefault="00E90E49" w:rsidP="00357380">
      <w:pPr>
        <w:pStyle w:val="3GPPHeader"/>
      </w:pPr>
    </w:p>
    <w:p w14:paraId="7A555DD8" w14:textId="7FDEC3C8" w:rsidR="00E90E49" w:rsidRPr="00807E1D" w:rsidRDefault="00E90E49" w:rsidP="00311702">
      <w:pPr>
        <w:pStyle w:val="3GPPHeader"/>
        <w:rPr>
          <w:sz w:val="22"/>
        </w:rPr>
      </w:pPr>
      <w:r w:rsidRPr="00807E1D">
        <w:rPr>
          <w:sz w:val="22"/>
        </w:rPr>
        <w:t>Agenda Item:</w:t>
      </w:r>
      <w:r w:rsidRPr="00807E1D">
        <w:rPr>
          <w:sz w:val="22"/>
        </w:rPr>
        <w:tab/>
      </w:r>
      <w:r w:rsidR="009027D4" w:rsidRPr="00807E1D">
        <w:rPr>
          <w:sz w:val="22"/>
        </w:rPr>
        <w:t>7.2.2.</w:t>
      </w:r>
      <w:r w:rsidR="000E3014" w:rsidRPr="00807E1D">
        <w:rPr>
          <w:sz w:val="22"/>
        </w:rPr>
        <w:t>1.1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793E0E1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E3014">
        <w:rPr>
          <w:sz w:val="22"/>
        </w:rPr>
        <w:t>Initial Access Signals and Channels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02BA1AE" w14:textId="77777777" w:rsidR="00E90E49" w:rsidRPr="00CE0424" w:rsidRDefault="00E90E49" w:rsidP="00E90E49"/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6D90EB1C" w:rsidR="00477768" w:rsidRPr="00CE0424" w:rsidRDefault="000E3014" w:rsidP="00CE0424">
      <w:pPr>
        <w:pStyle w:val="BodyText"/>
      </w:pPr>
      <w:r>
        <w:t>This document is for the purposes of NR-U maintenance under the initial access signals and channels agenda item.</w:t>
      </w:r>
    </w:p>
    <w:p w14:paraId="3BF54897" w14:textId="515F2B6C" w:rsidR="00CE7AFA" w:rsidRDefault="00230D18" w:rsidP="00A26B50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3558B674" w14:textId="7C0413FD" w:rsidR="00777019" w:rsidRDefault="00777019" w:rsidP="00777019">
      <w:pPr>
        <w:pStyle w:val="Heading2"/>
      </w:pPr>
      <w:r>
        <w:t>2.</w:t>
      </w:r>
      <w:r w:rsidR="00A26B50">
        <w:t>1</w:t>
      </w:r>
      <w:r>
        <w:tab/>
      </w:r>
      <w:r w:rsidRPr="00777019">
        <w:rPr>
          <w:lang w:val="en-US" w:eastAsia="zh-CN"/>
        </w:rPr>
        <w:t xml:space="preserve">Ambiguity </w:t>
      </w:r>
      <w:r>
        <w:t>of MIB interpretation for overlapping frequency bands</w:t>
      </w:r>
    </w:p>
    <w:p w14:paraId="4A6A5CDA" w14:textId="3CF59DFC" w:rsidR="0090302A" w:rsidRDefault="00A26B50" w:rsidP="0090302A">
      <w:pPr>
        <w:pStyle w:val="BodyText"/>
      </w:pPr>
      <w:r>
        <w:t xml:space="preserve">In Rel-16 RAN1 has agreed to signal Q using a reinterpretation of a combination of the MIB fields </w:t>
      </w:r>
      <w:proofErr w:type="spellStart"/>
      <w:r w:rsidRPr="00777019">
        <w:rPr>
          <w:i/>
          <w:iCs/>
        </w:rPr>
        <w:t>subCarrierSpacingCommon</w:t>
      </w:r>
      <w:proofErr w:type="spellEnd"/>
      <w:r>
        <w:t xml:space="preserve"> and </w:t>
      </w:r>
      <w:proofErr w:type="spellStart"/>
      <w:r w:rsidRPr="00777019">
        <w:rPr>
          <w:i/>
          <w:iCs/>
        </w:rPr>
        <w:t>ssb-SubcarrierOffset</w:t>
      </w:r>
      <w:proofErr w:type="spellEnd"/>
      <w:r>
        <w:t xml:space="preserve">. </w:t>
      </w:r>
      <w:r w:rsidR="00695FC0">
        <w:t>In addition</w:t>
      </w:r>
      <w:r w:rsidR="00D00699">
        <w:t>,</w:t>
      </w:r>
      <w:r w:rsidR="00695FC0">
        <w:t xml:space="preserve"> RAN</w:t>
      </w:r>
      <w:r w:rsidR="00D00699">
        <w:t>1 has agreed that a different set of tables (Table 13-1 vs Table13-1A and Table 13-4 vs Table 13-4A)</w:t>
      </w:r>
      <w:r>
        <w:t xml:space="preserve"> in 38.213 </w:t>
      </w:r>
      <w:r>
        <w:fldChar w:fldCharType="begin"/>
      </w:r>
      <w:r>
        <w:instrText xml:space="preserve"> REF _Ref31117834 \r \h </w:instrText>
      </w:r>
      <w:r>
        <w:fldChar w:fldCharType="separate"/>
      </w:r>
      <w:r>
        <w:t>[1]</w:t>
      </w:r>
      <w:r>
        <w:fldChar w:fldCharType="end"/>
      </w:r>
      <w:r w:rsidR="00D00699">
        <w:t xml:space="preserve"> should be used by the UE in the procedure for monitoring Type0-PDCCH CSS sets</w:t>
      </w:r>
      <w:r w:rsidR="00F63264">
        <w:t xml:space="preserve"> depending on operation in licensed bands vs. operation with shared spectrum channel access, respectively</w:t>
      </w:r>
      <w:r w:rsidR="00D00699">
        <w:t>.</w:t>
      </w:r>
    </w:p>
    <w:p w14:paraId="58FDB895" w14:textId="1D52B9EF" w:rsidR="00D00699" w:rsidRDefault="00F63264" w:rsidP="0090302A">
      <w:pPr>
        <w:pStyle w:val="BodyText"/>
      </w:pPr>
      <w:r>
        <w:t>T</w:t>
      </w:r>
      <w:r w:rsidR="0004166E">
        <w:t xml:space="preserve">he reinterpretation of bits </w:t>
      </w:r>
      <w:r>
        <w:t>in MIB in combination</w:t>
      </w:r>
      <w:r w:rsidR="0004166E">
        <w:t xml:space="preserve"> </w:t>
      </w:r>
      <w:r>
        <w:t xml:space="preserve">with </w:t>
      </w:r>
      <w:r w:rsidR="0004166E">
        <w:t>the different set of tables</w:t>
      </w:r>
      <w:r w:rsidR="00D00699">
        <w:t xml:space="preserve"> imply that </w:t>
      </w:r>
      <w:r w:rsidR="00DC149C">
        <w:t xml:space="preserve">the operating band determines </w:t>
      </w:r>
      <w:r w:rsidR="0090302A" w:rsidRPr="00777019">
        <w:t xml:space="preserve">whether the UE should assume the legacy </w:t>
      </w:r>
      <w:r w:rsidR="00D00699">
        <w:t xml:space="preserve">interpretation of the </w:t>
      </w:r>
      <w:r w:rsidR="0090302A" w:rsidRPr="00777019">
        <w:t xml:space="preserve">MIB or the new </w:t>
      </w:r>
      <w:r w:rsidR="00D00699">
        <w:t>interpretation</w:t>
      </w:r>
      <w:r w:rsidR="0090302A" w:rsidRPr="00777019">
        <w:t xml:space="preserve">. In other words, if the UE is attempting initial access in a band that it knows requires shared spectrum channel access, it will assume </w:t>
      </w:r>
      <w:r w:rsidR="00D00699">
        <w:t xml:space="preserve">that </w:t>
      </w:r>
      <w:r w:rsidR="0090302A" w:rsidRPr="00777019">
        <w:t xml:space="preserve">the new </w:t>
      </w:r>
      <w:r w:rsidR="00D00699">
        <w:t xml:space="preserve">interpretation of the </w:t>
      </w:r>
      <w:r w:rsidR="0090302A" w:rsidRPr="00777019">
        <w:t>MIB is used. For the 5 GHz band (Band n46) this works fine</w:t>
      </w:r>
      <w:r w:rsidR="00D00699">
        <w:t xml:space="preserve">, because at the time of writing there are no other overlapping frequency bands being discussed where a </w:t>
      </w:r>
      <w:r>
        <w:t>legacy (</w:t>
      </w:r>
      <w:r w:rsidR="00D00699">
        <w:t>Rel-15</w:t>
      </w:r>
      <w:r w:rsidR="004453F4">
        <w:t>)</w:t>
      </w:r>
      <w:r w:rsidR="00D00699">
        <w:t xml:space="preserve"> interpretation would apply.</w:t>
      </w:r>
    </w:p>
    <w:p w14:paraId="55CD487E" w14:textId="77DEB6C9" w:rsidR="0090302A" w:rsidRPr="00777019" w:rsidRDefault="0090302A" w:rsidP="00777019">
      <w:pPr>
        <w:pStyle w:val="BodyText"/>
        <w:rPr>
          <w:strike/>
          <w:color w:val="FF0000"/>
        </w:rPr>
      </w:pPr>
      <w:r w:rsidRPr="00777019">
        <w:t xml:space="preserve">However, for other bands, there is the possibility for an ambiguity in MIB content. For example, for the 6 GHz band in Europe, regulations may end up such that the upper part </w:t>
      </w:r>
      <w:r w:rsidR="00C757AB">
        <w:t xml:space="preserve">(&gt;6425 MHz) </w:t>
      </w:r>
      <w:r w:rsidRPr="00777019">
        <w:t xml:space="preserve">of the band is reserved for licensed operation. This </w:t>
      </w:r>
      <w:proofErr w:type="gramStart"/>
      <w:r w:rsidRPr="00777019">
        <w:t>is in contrast to</w:t>
      </w:r>
      <w:proofErr w:type="gramEnd"/>
      <w:r w:rsidRPr="00777019">
        <w:t xml:space="preserve"> the US where the full 6 GHz band </w:t>
      </w:r>
      <w:r w:rsidR="00C757AB">
        <w:t xml:space="preserve">(5925 – 7125 MHz) has been allocated by the FCC for </w:t>
      </w:r>
      <w:r w:rsidRPr="00777019">
        <w:t xml:space="preserve">unlicensed operation. Hence, a UE built for global operation will not know a priori whether the legacy or new </w:t>
      </w:r>
      <w:r w:rsidR="00F63264">
        <w:t>interpretation</w:t>
      </w:r>
      <w:r w:rsidRPr="00777019">
        <w:t xml:space="preserve"> </w:t>
      </w:r>
      <w:r w:rsidR="00DC149C">
        <w:t xml:space="preserve">of the MIB </w:t>
      </w:r>
      <w:r w:rsidR="00052FFF">
        <w:t>should</w:t>
      </w:r>
      <w:r w:rsidRPr="00777019">
        <w:t xml:space="preserve"> </w:t>
      </w:r>
      <w:r w:rsidR="00052FFF">
        <w:t xml:space="preserve">be </w:t>
      </w:r>
      <w:r w:rsidRPr="00777019">
        <w:t>used</w:t>
      </w:r>
      <w:r w:rsidR="00052FFF">
        <w:t xml:space="preserve"> during initial access</w:t>
      </w:r>
      <w:r w:rsidRPr="00777019">
        <w:t>.</w:t>
      </w:r>
    </w:p>
    <w:p w14:paraId="3F62F97E" w14:textId="25961C54" w:rsidR="0090302A" w:rsidRPr="00777019" w:rsidRDefault="0090302A" w:rsidP="00777019">
      <w:pPr>
        <w:pStyle w:val="Observation"/>
      </w:pPr>
      <w:r w:rsidRPr="00777019">
        <w:t>For overlapping bands with different channel access requirements (e.g., upper part of 6 GHz band), an ambiguity exists on how the UE should interpret the MIB content.</w:t>
      </w:r>
    </w:p>
    <w:p w14:paraId="530A29F1" w14:textId="0AC9802F" w:rsidR="0090302A" w:rsidRPr="00777019" w:rsidRDefault="00737C4E" w:rsidP="00777019">
      <w:pPr>
        <w:pStyle w:val="BodyText"/>
      </w:pPr>
      <w:r>
        <w:lastRenderedPageBreak/>
        <w:t>There are several ways to resolve the ambiguity, and we suggest several options that can be further discuss</w:t>
      </w:r>
      <w:r w:rsidR="00052FFF">
        <w:t>ed</w:t>
      </w:r>
      <w:r w:rsidR="0090302A" w:rsidRPr="00777019">
        <w:t>:</w:t>
      </w:r>
    </w:p>
    <w:p w14:paraId="0E60D0E1" w14:textId="61C2AE51" w:rsidR="0090302A" w:rsidRDefault="0090302A">
      <w:pPr>
        <w:pStyle w:val="BodyText"/>
      </w:pPr>
      <w:r w:rsidRPr="00777019">
        <w:rPr>
          <w:b/>
          <w:bCs/>
        </w:rPr>
        <w:t>Option 1)</w:t>
      </w:r>
      <w:r w:rsidRPr="00777019">
        <w:t xml:space="preserve"> </w:t>
      </w:r>
      <w:r w:rsidRPr="00777019">
        <w:tab/>
        <w:t xml:space="preserve">The UE attempts SIB1 reception during initial access based on two different hypotheses on the MIB content (legacy </w:t>
      </w:r>
      <w:r w:rsidR="004B248B">
        <w:t xml:space="preserve">content, and </w:t>
      </w:r>
      <w:r w:rsidRPr="00777019">
        <w:t xml:space="preserve">new </w:t>
      </w:r>
      <w:r w:rsidR="004B248B">
        <w:t>content including Q</w:t>
      </w:r>
      <w:r w:rsidRPr="00777019">
        <w:t>). Once SIB1 is successfully decoded, the UE will know if shared/licensed spectrum channel access shall be used on the accessed carrier.</w:t>
      </w:r>
    </w:p>
    <w:p w14:paraId="09D2C0D1" w14:textId="2B0A780C" w:rsidR="009F512B" w:rsidRDefault="009F512B" w:rsidP="0090302A">
      <w:pPr>
        <w:pStyle w:val="BodyText"/>
      </w:pPr>
      <w:r w:rsidRPr="00777019">
        <w:rPr>
          <w:b/>
          <w:bCs/>
        </w:rPr>
        <w:t xml:space="preserve">Option </w:t>
      </w:r>
      <w:r w:rsidR="004453F4">
        <w:rPr>
          <w:b/>
          <w:bCs/>
        </w:rPr>
        <w:t>2</w:t>
      </w:r>
      <w:r w:rsidRPr="00777019">
        <w:rPr>
          <w:b/>
          <w:bCs/>
        </w:rPr>
        <w:t>)</w:t>
      </w:r>
      <w:r>
        <w:t xml:space="preserve"> A PBCH CRC scrambling, similar as for PDCCH, can be introduced</w:t>
      </w:r>
      <w:r w:rsidR="00C637D0">
        <w:t>, where the scrambling would be different depending on if the new MIB or legacy MIB interpretation should be used.</w:t>
      </w:r>
    </w:p>
    <w:p w14:paraId="353929E8" w14:textId="78CF7BBE" w:rsidR="009F512B" w:rsidRPr="00777019" w:rsidRDefault="009F512B" w:rsidP="00777019">
      <w:pPr>
        <w:pStyle w:val="BodyText"/>
      </w:pPr>
      <w:r w:rsidRPr="00777019">
        <w:rPr>
          <w:b/>
          <w:bCs/>
        </w:rPr>
        <w:t xml:space="preserve">Option </w:t>
      </w:r>
      <w:r w:rsidR="004453F4">
        <w:rPr>
          <w:b/>
          <w:bCs/>
        </w:rPr>
        <w:t>3</w:t>
      </w:r>
      <w:r w:rsidRPr="00777019">
        <w:rPr>
          <w:b/>
          <w:bCs/>
        </w:rPr>
        <w:t>)</w:t>
      </w:r>
      <w:r>
        <w:t xml:space="preserve"> RAN4 can define non-overlapping GSCN points depending on which channel access requirements that apply to the band</w:t>
      </w:r>
      <w:r w:rsidR="004453F4">
        <w:t>.</w:t>
      </w:r>
    </w:p>
    <w:p w14:paraId="39AE7123" w14:textId="40B21AF7" w:rsidR="0004166E" w:rsidRDefault="0004166E" w:rsidP="00CE7AFA">
      <w:pPr>
        <w:pStyle w:val="BodyText"/>
      </w:pPr>
      <w:r>
        <w:t>Each of these options have their pros and cons which is further discuss</w:t>
      </w:r>
      <w:r w:rsidR="004B248B">
        <w:t>ed</w:t>
      </w:r>
      <w:r>
        <w:t xml:space="preserve"> below.</w:t>
      </w:r>
    </w:p>
    <w:p w14:paraId="31FD0D97" w14:textId="49015E67" w:rsidR="00CE7AFA" w:rsidRDefault="00CE7AFA" w:rsidP="00CE7AFA">
      <w:pPr>
        <w:pStyle w:val="BodyText"/>
      </w:pPr>
      <w:r>
        <w:t>Option 1) has no RAN1 specification impact but would increase UE power</w:t>
      </w:r>
      <w:r w:rsidR="00DB1832">
        <w:t>/time</w:t>
      </w:r>
      <w:r>
        <w:t xml:space="preserve"> consumption when attempting initial access for bands with the a</w:t>
      </w:r>
      <w:r w:rsidRPr="00375894">
        <w:t>mbiguity</w:t>
      </w:r>
      <w:r>
        <w:t xml:space="preserve"> property. In addition, RAN2 procedure text might need to be updated to capture this new procedure.</w:t>
      </w:r>
    </w:p>
    <w:p w14:paraId="36D665B1" w14:textId="365A8260" w:rsidR="00CE7AFA" w:rsidRDefault="00CE7AFA" w:rsidP="0090302A">
      <w:pPr>
        <w:pStyle w:val="BodyText"/>
      </w:pPr>
      <w:r>
        <w:t xml:space="preserve">Option 2) </w:t>
      </w:r>
      <w:r w:rsidR="004453F4">
        <w:t>is</w:t>
      </w:r>
      <w:r>
        <w:t xml:space="preserve"> the most future proof option</w:t>
      </w:r>
      <w:r w:rsidR="00777019">
        <w:t xml:space="preserve">. In contrast to Option 1, it reduces the UE power/time consumption by </w:t>
      </w:r>
      <w:proofErr w:type="spellStart"/>
      <w:r w:rsidR="00777019">
        <w:t>avoding</w:t>
      </w:r>
      <w:proofErr w:type="spellEnd"/>
      <w:r w:rsidR="00777019">
        <w:t xml:space="preserve"> the UE having to decode SIB1 twice under different hypotheses. However, it </w:t>
      </w:r>
      <w:r>
        <w:t>come</w:t>
      </w:r>
      <w:r w:rsidR="00052FFF">
        <w:t>s</w:t>
      </w:r>
      <w:r>
        <w:t xml:space="preserve"> with additional RAN1 specification </w:t>
      </w:r>
      <w:r w:rsidR="001E602C">
        <w:t xml:space="preserve">and implementation </w:t>
      </w:r>
      <w:r>
        <w:t>impact.</w:t>
      </w:r>
    </w:p>
    <w:p w14:paraId="6A31FC51" w14:textId="74E553D5" w:rsidR="00CE7AFA" w:rsidRDefault="00CE7AFA" w:rsidP="0090302A">
      <w:pPr>
        <w:pStyle w:val="BodyText"/>
      </w:pPr>
      <w:r>
        <w:t xml:space="preserve">Option </w:t>
      </w:r>
      <w:r w:rsidR="004453F4">
        <w:t>3</w:t>
      </w:r>
      <w:r>
        <w:t>) limits the flexibility in placing GSCN points for bands with the a</w:t>
      </w:r>
      <w:r w:rsidRPr="00375894">
        <w:t>mbiguity</w:t>
      </w:r>
      <w:r>
        <w:t xml:space="preserve"> property</w:t>
      </w:r>
      <w:r w:rsidR="001E602C">
        <w:t>.</w:t>
      </w:r>
    </w:p>
    <w:p w14:paraId="280E6234" w14:textId="4769ADDD" w:rsidR="00CE7AFA" w:rsidRDefault="00737C4E" w:rsidP="0090302A">
      <w:pPr>
        <w:pStyle w:val="BodyText"/>
      </w:pPr>
      <w:r>
        <w:t xml:space="preserve">We propose that </w:t>
      </w:r>
      <w:r w:rsidR="001E602C">
        <w:t xml:space="preserve">RAN1 </w:t>
      </w:r>
      <w:r w:rsidR="00DB1832">
        <w:t>discusses</w:t>
      </w:r>
      <w:r w:rsidR="001E602C">
        <w:t xml:space="preserve"> </w:t>
      </w:r>
      <w:r>
        <w:t>the ambiguity</w:t>
      </w:r>
      <w:r w:rsidR="001E602C">
        <w:t xml:space="preserve"> issue </w:t>
      </w:r>
      <w:r w:rsidR="004F43FC">
        <w:t xml:space="preserve">and determines </w:t>
      </w:r>
      <w:r>
        <w:t xml:space="preserve">if and </w:t>
      </w:r>
      <w:r w:rsidR="004F43FC">
        <w:t>how to resolve it</w:t>
      </w:r>
      <w:r>
        <w:t>:</w:t>
      </w:r>
    </w:p>
    <w:p w14:paraId="612B1106" w14:textId="40F36AA7" w:rsidR="004F43FC" w:rsidRDefault="004F43FC" w:rsidP="00777019">
      <w:pPr>
        <w:pStyle w:val="Proposal"/>
      </w:pPr>
      <w:bookmarkStart w:id="3" w:name="_Toc40337094"/>
      <w:r>
        <w:t xml:space="preserve">RAN1 </w:t>
      </w:r>
      <w:r w:rsidR="00737C4E">
        <w:t>should</w:t>
      </w:r>
      <w:r>
        <w:t xml:space="preserve"> discuss the </w:t>
      </w:r>
      <w:r w:rsidR="009949B1">
        <w:t xml:space="preserve">MIB interpretation </w:t>
      </w:r>
      <w:r>
        <w:t>a</w:t>
      </w:r>
      <w:r w:rsidRPr="00375894">
        <w:t>mbiguity</w:t>
      </w:r>
      <w:r>
        <w:t xml:space="preserve"> </w:t>
      </w:r>
      <w:r w:rsidR="00737C4E">
        <w:t xml:space="preserve">issue </w:t>
      </w:r>
      <w:r>
        <w:t xml:space="preserve">for overlapping frequency bands and agree on </w:t>
      </w:r>
      <w:r w:rsidR="009949B1">
        <w:t>if</w:t>
      </w:r>
      <w:r>
        <w:t xml:space="preserve"> </w:t>
      </w:r>
      <w:r w:rsidR="00737C4E">
        <w:t>and how the issue should be resolved</w:t>
      </w:r>
      <w:r>
        <w:t>.</w:t>
      </w:r>
      <w:bookmarkEnd w:id="3"/>
    </w:p>
    <w:p w14:paraId="17199180" w14:textId="3B7ADE7B" w:rsidR="004F43FC" w:rsidRPr="00777019" w:rsidRDefault="004F43FC">
      <w:r>
        <w:t xml:space="preserve"> </w:t>
      </w:r>
    </w:p>
    <w:p w14:paraId="4385054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3902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28A16ED" w14:textId="77777777" w:rsidR="00A26B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337094" w:history="1">
        <w:r w:rsidR="00A26B50" w:rsidRPr="00F30F45">
          <w:rPr>
            <w:rStyle w:val="Hyperlink"/>
            <w:noProof/>
          </w:rPr>
          <w:t>Proposal 1</w:t>
        </w:r>
        <w:r w:rsidR="00A26B50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A26B50" w:rsidRPr="00F30F45">
          <w:rPr>
            <w:rStyle w:val="Hyperlink"/>
            <w:noProof/>
          </w:rPr>
          <w:t>RAN1 should discuss the MIB interpretation ambiguity issue for overlapping frequency bands and agree on if and how the issue should be resolved.</w:t>
        </w:r>
      </w:hyperlink>
    </w:p>
    <w:p w14:paraId="4AD2F895" w14:textId="31FA187C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652C29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205BC619" w14:textId="78071ADE" w:rsidR="005F3025" w:rsidRDefault="00C9770B" w:rsidP="00311702">
      <w:pPr>
        <w:pStyle w:val="Reference"/>
      </w:pPr>
      <w:bookmarkStart w:id="5" w:name="_Ref31117834"/>
      <w:bookmarkStart w:id="6" w:name="_Ref174151459"/>
      <w:bookmarkStart w:id="7" w:name="_Ref189809556"/>
      <w:r>
        <w:t>3GPP TS 38.21</w:t>
      </w:r>
      <w:r w:rsidR="00F70725">
        <w:t>3</w:t>
      </w:r>
      <w:r>
        <w:t xml:space="preserve"> v16.</w:t>
      </w:r>
      <w:r w:rsidR="00BE0C95">
        <w:t>1</w:t>
      </w:r>
      <w:r>
        <w:t>.0, “</w:t>
      </w:r>
      <w:r w:rsidR="00F70725">
        <w:t>Physical layer procedures for control</w:t>
      </w:r>
      <w:r>
        <w:t xml:space="preserve">,” </w:t>
      </w:r>
      <w:r w:rsidR="00BE0C95">
        <w:t>March 2020</w:t>
      </w:r>
      <w:r>
        <w:t>.</w:t>
      </w:r>
      <w:bookmarkEnd w:id="5"/>
    </w:p>
    <w:bookmarkEnd w:id="6"/>
    <w:bookmarkEnd w:id="7"/>
    <w:p w14:paraId="14833DCD" w14:textId="669E5FAE" w:rsidR="00695FC0" w:rsidRPr="00CE0424" w:rsidRDefault="00695FC0" w:rsidP="00A26B50">
      <w:pPr>
        <w:pStyle w:val="Reference"/>
        <w:numPr>
          <w:ilvl w:val="0"/>
          <w:numId w:val="0"/>
        </w:numPr>
      </w:pPr>
    </w:p>
    <w:sectPr w:rsidR="00695FC0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5FAEC" w14:textId="77777777" w:rsidR="00DC149C" w:rsidRDefault="00DC149C">
      <w:r>
        <w:separator/>
      </w:r>
    </w:p>
  </w:endnote>
  <w:endnote w:type="continuationSeparator" w:id="0">
    <w:p w14:paraId="4F61233F" w14:textId="77777777" w:rsidR="00DC149C" w:rsidRDefault="00DC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DC149C" w:rsidRDefault="00DC149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47068" w14:textId="77777777" w:rsidR="00DC149C" w:rsidRDefault="00DC149C">
      <w:r>
        <w:separator/>
      </w:r>
    </w:p>
  </w:footnote>
  <w:footnote w:type="continuationSeparator" w:id="0">
    <w:p w14:paraId="64809FC8" w14:textId="77777777" w:rsidR="00DC149C" w:rsidRDefault="00DC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DC149C" w:rsidRDefault="00DC149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DA4E66CC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BEF3714"/>
    <w:multiLevelType w:val="hybridMultilevel"/>
    <w:tmpl w:val="5A247ECC"/>
    <w:lvl w:ilvl="0" w:tplc="9CE6CD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45FB"/>
    <w:rsid w:val="00015D15"/>
    <w:rsid w:val="0002564D"/>
    <w:rsid w:val="00025ECA"/>
    <w:rsid w:val="00027CF6"/>
    <w:rsid w:val="000325B8"/>
    <w:rsid w:val="00034C15"/>
    <w:rsid w:val="00036BA1"/>
    <w:rsid w:val="0004166E"/>
    <w:rsid w:val="000422E2"/>
    <w:rsid w:val="00042F22"/>
    <w:rsid w:val="000444EF"/>
    <w:rsid w:val="00052A07"/>
    <w:rsid w:val="00052FFF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014"/>
    <w:rsid w:val="000E3B0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068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322"/>
    <w:rsid w:val="001B5A5D"/>
    <w:rsid w:val="001B6F27"/>
    <w:rsid w:val="001C1CE5"/>
    <w:rsid w:val="001C3D2A"/>
    <w:rsid w:val="001D51BA"/>
    <w:rsid w:val="001D53E7"/>
    <w:rsid w:val="001D6342"/>
    <w:rsid w:val="001D6D53"/>
    <w:rsid w:val="001E58E2"/>
    <w:rsid w:val="001E602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59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25C"/>
    <w:rsid w:val="002D071A"/>
    <w:rsid w:val="002D3327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4000E8"/>
    <w:rsid w:val="00402E2B"/>
    <w:rsid w:val="0040512B"/>
    <w:rsid w:val="00405B4D"/>
    <w:rsid w:val="00405CA5"/>
    <w:rsid w:val="00407CD3"/>
    <w:rsid w:val="00410134"/>
    <w:rsid w:val="00410B72"/>
    <w:rsid w:val="00410F18"/>
    <w:rsid w:val="0041263E"/>
    <w:rsid w:val="00413AAC"/>
    <w:rsid w:val="00413E92"/>
    <w:rsid w:val="004161A9"/>
    <w:rsid w:val="00421105"/>
    <w:rsid w:val="00422AA4"/>
    <w:rsid w:val="004242F4"/>
    <w:rsid w:val="00427248"/>
    <w:rsid w:val="00437447"/>
    <w:rsid w:val="00441A92"/>
    <w:rsid w:val="004431DC"/>
    <w:rsid w:val="00444F56"/>
    <w:rsid w:val="004453F4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48B"/>
    <w:rsid w:val="004B65B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3FC"/>
    <w:rsid w:val="004F4DA3"/>
    <w:rsid w:val="00506557"/>
    <w:rsid w:val="0050677A"/>
    <w:rsid w:val="00507892"/>
    <w:rsid w:val="005108D8"/>
    <w:rsid w:val="005116F9"/>
    <w:rsid w:val="005153A7"/>
    <w:rsid w:val="005219CF"/>
    <w:rsid w:val="005245E8"/>
    <w:rsid w:val="00534B59"/>
    <w:rsid w:val="00536759"/>
    <w:rsid w:val="00537C62"/>
    <w:rsid w:val="0054169C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2E6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32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C5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0"/>
    <w:rsid w:val="00695FC2"/>
    <w:rsid w:val="00696949"/>
    <w:rsid w:val="00697052"/>
    <w:rsid w:val="006A2CEC"/>
    <w:rsid w:val="006A46FB"/>
    <w:rsid w:val="006A5E28"/>
    <w:rsid w:val="006A697B"/>
    <w:rsid w:val="006A7AFF"/>
    <w:rsid w:val="006B1816"/>
    <w:rsid w:val="006B2099"/>
    <w:rsid w:val="006B50CF"/>
    <w:rsid w:val="006C03B8"/>
    <w:rsid w:val="006C2776"/>
    <w:rsid w:val="006C5EC9"/>
    <w:rsid w:val="006C6059"/>
    <w:rsid w:val="006C7522"/>
    <w:rsid w:val="006D3E5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049"/>
    <w:rsid w:val="00737C4E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019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414"/>
    <w:rsid w:val="007B122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4CA"/>
    <w:rsid w:val="00803FAE"/>
    <w:rsid w:val="0080605F"/>
    <w:rsid w:val="00807786"/>
    <w:rsid w:val="00807E1D"/>
    <w:rsid w:val="00811FCB"/>
    <w:rsid w:val="00812C1D"/>
    <w:rsid w:val="008158D6"/>
    <w:rsid w:val="00817196"/>
    <w:rsid w:val="008235DB"/>
    <w:rsid w:val="00824AB4"/>
    <w:rsid w:val="00825C42"/>
    <w:rsid w:val="00825D25"/>
    <w:rsid w:val="00827411"/>
    <w:rsid w:val="00827D6F"/>
    <w:rsid w:val="008376AC"/>
    <w:rsid w:val="008444E8"/>
    <w:rsid w:val="00844E80"/>
    <w:rsid w:val="00846FE7"/>
    <w:rsid w:val="00856911"/>
    <w:rsid w:val="00864A0E"/>
    <w:rsid w:val="008677FD"/>
    <w:rsid w:val="00870400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27D4"/>
    <w:rsid w:val="0090302A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9B1"/>
    <w:rsid w:val="00994DCA"/>
    <w:rsid w:val="009960EC"/>
    <w:rsid w:val="009970DD"/>
    <w:rsid w:val="009A0FBA"/>
    <w:rsid w:val="009A1601"/>
    <w:rsid w:val="009A3BB6"/>
    <w:rsid w:val="009A462D"/>
    <w:rsid w:val="009A5CBA"/>
    <w:rsid w:val="009B02A0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12B"/>
    <w:rsid w:val="00A031D8"/>
    <w:rsid w:val="00A048A8"/>
    <w:rsid w:val="00A04F49"/>
    <w:rsid w:val="00A13E54"/>
    <w:rsid w:val="00A17F63"/>
    <w:rsid w:val="00A2193B"/>
    <w:rsid w:val="00A2351A"/>
    <w:rsid w:val="00A264A9"/>
    <w:rsid w:val="00A26B50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1E12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F72"/>
    <w:rsid w:val="00BA76E0"/>
    <w:rsid w:val="00BB2A25"/>
    <w:rsid w:val="00BB51E9"/>
    <w:rsid w:val="00BC0FDC"/>
    <w:rsid w:val="00BC3053"/>
    <w:rsid w:val="00BC4D2E"/>
    <w:rsid w:val="00BD48AC"/>
    <w:rsid w:val="00BD5F1A"/>
    <w:rsid w:val="00BE0C95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39B"/>
    <w:rsid w:val="00C27591"/>
    <w:rsid w:val="00C279B5"/>
    <w:rsid w:val="00C27C45"/>
    <w:rsid w:val="00C33229"/>
    <w:rsid w:val="00C34B11"/>
    <w:rsid w:val="00C3719D"/>
    <w:rsid w:val="00C37CB2"/>
    <w:rsid w:val="00C473A5"/>
    <w:rsid w:val="00C54995"/>
    <w:rsid w:val="00C54D41"/>
    <w:rsid w:val="00C60783"/>
    <w:rsid w:val="00C637D0"/>
    <w:rsid w:val="00C64672"/>
    <w:rsid w:val="00C70697"/>
    <w:rsid w:val="00C72093"/>
    <w:rsid w:val="00C72EF4"/>
    <w:rsid w:val="00C744FE"/>
    <w:rsid w:val="00C757AB"/>
    <w:rsid w:val="00C75D2F"/>
    <w:rsid w:val="00C767BE"/>
    <w:rsid w:val="00C76E3C"/>
    <w:rsid w:val="00C81568"/>
    <w:rsid w:val="00C823B1"/>
    <w:rsid w:val="00C9027A"/>
    <w:rsid w:val="00C9068E"/>
    <w:rsid w:val="00C93814"/>
    <w:rsid w:val="00C93C4B"/>
    <w:rsid w:val="00C944AB"/>
    <w:rsid w:val="00C95B40"/>
    <w:rsid w:val="00C9770B"/>
    <w:rsid w:val="00CA1ED8"/>
    <w:rsid w:val="00CA6392"/>
    <w:rsid w:val="00CB1F63"/>
    <w:rsid w:val="00CB7170"/>
    <w:rsid w:val="00CC040E"/>
    <w:rsid w:val="00CC111F"/>
    <w:rsid w:val="00CC2011"/>
    <w:rsid w:val="00CC2352"/>
    <w:rsid w:val="00CC3EA0"/>
    <w:rsid w:val="00CC7B45"/>
    <w:rsid w:val="00CD1188"/>
    <w:rsid w:val="00CD2ED1"/>
    <w:rsid w:val="00CD337B"/>
    <w:rsid w:val="00CE0424"/>
    <w:rsid w:val="00CE6E37"/>
    <w:rsid w:val="00CE7561"/>
    <w:rsid w:val="00CE7AFA"/>
    <w:rsid w:val="00CF1354"/>
    <w:rsid w:val="00CF3B1F"/>
    <w:rsid w:val="00CF3BF6"/>
    <w:rsid w:val="00CF625B"/>
    <w:rsid w:val="00CF687E"/>
    <w:rsid w:val="00D00699"/>
    <w:rsid w:val="00D0349B"/>
    <w:rsid w:val="00D10249"/>
    <w:rsid w:val="00D115C3"/>
    <w:rsid w:val="00D11897"/>
    <w:rsid w:val="00D13135"/>
    <w:rsid w:val="00D13E4E"/>
    <w:rsid w:val="00D145E5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74C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BC1"/>
    <w:rsid w:val="00DA305E"/>
    <w:rsid w:val="00DA5417"/>
    <w:rsid w:val="00DA56E8"/>
    <w:rsid w:val="00DB0A9F"/>
    <w:rsid w:val="00DB1832"/>
    <w:rsid w:val="00DB377D"/>
    <w:rsid w:val="00DC149C"/>
    <w:rsid w:val="00DC2D36"/>
    <w:rsid w:val="00DC53EF"/>
    <w:rsid w:val="00DD071E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001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D7A45"/>
    <w:rsid w:val="00EE03D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64"/>
    <w:rsid w:val="00F63950"/>
    <w:rsid w:val="00F64C2B"/>
    <w:rsid w:val="00F651BE"/>
    <w:rsid w:val="00F67F53"/>
    <w:rsid w:val="00F703BE"/>
    <w:rsid w:val="00F70725"/>
    <w:rsid w:val="00F71233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39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63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639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0145FB"/>
    <w:rPr>
      <w:color w:val="808080"/>
    </w:rPr>
  </w:style>
  <w:style w:type="character" w:customStyle="1" w:styleId="TACChar">
    <w:name w:val="TAC Char"/>
    <w:link w:val="TAC"/>
    <w:qFormat/>
    <w:locked/>
    <w:rsid w:val="00CE7AFA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2DEBF8-23C8-435D-A952-D7E53D68C6A7}"/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DBCBE6-5BA1-4C45-BEFB-CECBDC11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2</Pages>
  <Words>670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4218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Stephen Grant</cp:lastModifiedBy>
  <cp:revision>44</cp:revision>
  <cp:lastPrinted>2008-01-31T07:09:00Z</cp:lastPrinted>
  <dcterms:created xsi:type="dcterms:W3CDTF">2020-01-22T23:23:00Z</dcterms:created>
  <dcterms:modified xsi:type="dcterms:W3CDTF">2020-08-07T20:49:00Z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